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5</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color w:val="auto"/>
          <w:sz w:val="24"/>
          <w:szCs w:val="24"/>
          <w:lang w:val="en-US" w:eastAsia="zh-CN"/>
        </w:rPr>
        <w:t>R4-2506950</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val="pt-BR"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on NTN_testing_NGSO_channel_model</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color w:val="auto"/>
          <w:lang w:val="pt-BR"/>
        </w:rPr>
        <w:t>Agenda item:</w:t>
      </w:r>
      <w:r>
        <w:rPr>
          <w:rStyle w:val="59"/>
          <w:rFonts w:hint="eastAsia"/>
          <w:b/>
          <w:color w:val="auto"/>
          <w:lang w:val="pt-BR"/>
        </w:rPr>
        <w:tab/>
      </w:r>
      <w:r>
        <w:rPr>
          <w:rStyle w:val="59"/>
          <w:rFonts w:hint="eastAsia"/>
          <w:b/>
          <w:color w:val="auto"/>
          <w:lang w:val="en-US" w:eastAsia="zh-CN"/>
        </w:rPr>
        <w:t>7.10.5.1</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Enhanced requirements and conductive test methodology for NR NTN and IoT NTN was approved in [1], wherein the objectives related to channel model and demodulation requirements are copied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highlight w:val="none"/>
              </w:rPr>
            </w:pPr>
            <w:r>
              <w:rPr>
                <w:b/>
              </w:rPr>
              <w:t>NTN testing</w:t>
            </w:r>
            <w:r>
              <w:rPr>
                <w:b/>
                <w:highlight w:val="none"/>
              </w:rPr>
              <w:t xml:space="preserve"> for NGSO</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highlight w:val="none"/>
              </w:rPr>
              <w:t>Specify the TE-emulated channel model with</w:t>
            </w:r>
            <w:r>
              <w:rPr>
                <w:rFonts w:ascii="Times New Roman" w:hAnsi="Times New Roman" w:cs="Times New Roman"/>
                <w:sz w:val="20"/>
                <w:szCs w:val="20"/>
              </w:rPr>
              <w:t xml:space="preserve"> varying Doppler and delay shifts for NR-NTN and IoT-NTN in the FR1-NTN bands and the corresponding LTE bands</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Match the satellite motion trajectory based on the ephemeris for NGSO (Non-Geostationary Orbit) scenarios</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Inform RAN5 to assist specifying RF frequency error tests, if needed</w:t>
            </w:r>
          </w:p>
          <w:p>
            <w:pPr>
              <w:pStyle w:val="33"/>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RRM performance test of uplink timing for NGSO for NR-NTN and IoT-NTN in the FR1-NTN bands and the corresponding LTE bands based on the above channel model</w:t>
            </w:r>
          </w:p>
          <w:p>
            <w:pPr>
              <w:pStyle w:val="33"/>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inimize the number of demodulation performance requirements</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applicability of the tests under the TE-emulated channel model</w:t>
            </w:r>
          </w:p>
          <w:p>
            <w:pPr>
              <w:overflowPunct w:val="0"/>
              <w:autoSpaceDE w:val="0"/>
              <w:autoSpaceDN w:val="0"/>
              <w:adjustRightInd w:val="0"/>
              <w:spacing w:after="180"/>
              <w:textAlignment w:val="baseline"/>
              <w:rPr>
                <w:b/>
              </w:rPr>
            </w:pPr>
            <w:r>
              <w:rPr>
                <w:b/>
              </w:rPr>
              <w:t>Less than 5MHz for NTN</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Specify </w:t>
            </w:r>
            <w:r>
              <w:rPr>
                <w:rFonts w:ascii="Times New Roman" w:hAnsi="Times New Roman" w:cs="Times New Roman"/>
                <w:sz w:val="20"/>
                <w:szCs w:val="20"/>
              </w:rPr>
              <w:t>the</w:t>
            </w:r>
            <w:r>
              <w:rPr>
                <w:rFonts w:hint="eastAsia" w:ascii="Times New Roman" w:hAnsi="Times New Roman" w:cs="Times New Roman"/>
                <w:sz w:val="20"/>
                <w:szCs w:val="20"/>
              </w:rPr>
              <w:t xml:space="preserve"> </w:t>
            </w:r>
            <w:r>
              <w:rPr>
                <w:rFonts w:ascii="Times New Roman" w:hAnsi="Times New Roman" w:cs="Times New Roman"/>
                <w:sz w:val="20"/>
                <w:szCs w:val="20"/>
              </w:rPr>
              <w:t>necessary</w:t>
            </w:r>
            <w:r>
              <w:rPr>
                <w:rFonts w:hint="eastAsia" w:ascii="Times New Roman" w:hAnsi="Times New Roman" w:cs="Times New Roman"/>
                <w:sz w:val="20"/>
                <w:szCs w:val="20"/>
              </w:rPr>
              <w:t xml:space="preserve"> </w:t>
            </w:r>
            <w:r>
              <w:rPr>
                <w:rFonts w:ascii="Times New Roman" w:hAnsi="Times New Roman" w:cs="Times New Roman"/>
                <w:sz w:val="20"/>
                <w:szCs w:val="20"/>
              </w:rPr>
              <w:t>conformance requirements for SAN for less than 5 MHz for NR-NTN in FR1-NTN bands</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RRM performance requirements and test cases for less than 5 MHz for NR-NTN in FR1-NTN bands</w:t>
            </w:r>
          </w:p>
          <w:p>
            <w:pPr>
              <w:pStyle w:val="33"/>
              <w:numPr>
                <w:ilvl w:val="0"/>
                <w:numId w:val="8"/>
              </w:numPr>
              <w:overflowPunct w:val="0"/>
              <w:autoSpaceDE w:val="0"/>
              <w:autoSpaceDN w:val="0"/>
              <w:adjustRightInd w:val="0"/>
              <w:spacing w:after="180"/>
              <w:ind w:firstLineChars="0"/>
              <w:jc w:val="left"/>
              <w:textAlignment w:val="baseline"/>
              <w:rPr>
                <w:rFonts w:hint="default"/>
                <w:szCs w:val="22"/>
                <w:vertAlign w:val="baseline"/>
                <w:lang w:val="en-US" w:eastAsia="zh-CN"/>
              </w:rPr>
            </w:pPr>
            <w:r>
              <w:rPr>
                <w:rFonts w:ascii="Times New Roman" w:hAnsi="Times New Roman" w:cs="Times New Roman"/>
                <w:sz w:val="20"/>
                <w:szCs w:val="20"/>
              </w:rPr>
              <w:t>Specify the necessary demodulation performance requirements for less than 5 MHz for NR-NTN in FR1-NTN bands</w:t>
            </w:r>
          </w:p>
        </w:tc>
      </w:tr>
    </w:tbl>
    <w:p>
      <w:pPr>
        <w:spacing w:before="120" w:after="120"/>
        <w:rPr>
          <w:rFonts w:hint="default"/>
          <w:lang w:val="en-US" w:eastAsia="zh-CN"/>
        </w:rPr>
      </w:pPr>
      <w:r>
        <w:rPr>
          <w:rFonts w:hint="eastAsia"/>
          <w:lang w:val="en-US" w:eastAsia="zh-CN"/>
        </w:rPr>
        <w:t xml:space="preserve">In this contribution, we provide some of our view point on the NGSO channel model. </w:t>
      </w:r>
    </w:p>
    <w:p>
      <w:pPr>
        <w:keepNext w:val="0"/>
        <w:keepLines w:val="0"/>
        <w:pageBreakBefore w:val="0"/>
        <w:widowControl w:val="0"/>
        <w:numPr>
          <w:ilvl w:val="0"/>
          <w:numId w:val="9"/>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 </w:t>
      </w:r>
      <w:r>
        <w:rPr>
          <w:b/>
          <w:kern w:val="0"/>
          <w:sz w:val="24"/>
          <w:szCs w:val="24"/>
        </w:rPr>
        <w:t>Discussion</w:t>
      </w:r>
    </w:p>
    <w:p>
      <w:pPr>
        <w:keepNext w:val="0"/>
        <w:keepLines w:val="0"/>
        <w:widowControl/>
        <w:suppressLineNumbers w:val="0"/>
        <w:jc w:val="both"/>
        <w:rPr>
          <w:rFonts w:hint="default"/>
          <w:b/>
          <w:bCs/>
          <w:u w:val="single"/>
          <w:lang w:val="en-US" w:eastAsia="zh-CN"/>
        </w:rPr>
      </w:pPr>
      <w:r>
        <w:rPr>
          <w:rFonts w:hint="eastAsia"/>
          <w:b/>
          <w:bCs/>
          <w:u w:val="single"/>
          <w:lang w:val="en-US" w:eastAsia="zh-CN"/>
        </w:rPr>
        <w:t>Impact on RAN4 demodulation requirements</w:t>
      </w:r>
      <w:r>
        <w:rPr>
          <w:b/>
          <w:bCs/>
          <w:u w:val="single"/>
          <w:lang w:val="en-US" w:eastAsia="zh-CN"/>
        </w:rPr>
        <w:t xml:space="preserve"> with TE-emulated time vary doppler shift and propagation delay model</w:t>
      </w:r>
      <w:r>
        <w:rPr>
          <w:rFonts w:hint="eastAsia"/>
          <w:b/>
          <w:bCs/>
          <w:u w:val="single"/>
          <w:lang w:val="en-US" w:eastAsia="zh-CN"/>
        </w:rPr>
        <w: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10"/>
              </w:numPr>
              <w:overflowPunct/>
              <w:autoSpaceDE/>
              <w:autoSpaceDN/>
              <w:adjustRightInd/>
              <w:spacing w:after="120"/>
              <w:ind w:left="720" w:firstLineChars="0"/>
              <w:jc w:val="both"/>
              <w:textAlignment w:val="auto"/>
              <w:rPr>
                <w:rFonts w:eastAsia="宋体"/>
                <w:sz w:val="20"/>
                <w:szCs w:val="20"/>
                <w:lang w:eastAsia="zh-CN"/>
              </w:rPr>
            </w:pPr>
            <w:r>
              <w:rPr>
                <w:rFonts w:eastAsia="宋体"/>
                <w:sz w:val="20"/>
                <w:szCs w:val="20"/>
                <w:lang w:eastAsia="zh-CN"/>
              </w:rPr>
              <w:t>Proposals:</w:t>
            </w:r>
          </w:p>
          <w:p>
            <w:pPr>
              <w:pStyle w:val="33"/>
              <w:numPr>
                <w:ilvl w:val="1"/>
                <w:numId w:val="10"/>
              </w:numPr>
              <w:overflowPunct/>
              <w:autoSpaceDE/>
              <w:autoSpaceDN w:val="0"/>
              <w:adjustRightInd/>
              <w:spacing w:after="120"/>
              <w:ind w:firstLineChars="0"/>
              <w:jc w:val="both"/>
              <w:textAlignment w:val="auto"/>
              <w:rPr>
                <w:rFonts w:eastAsia="宋体"/>
                <w:sz w:val="20"/>
                <w:szCs w:val="20"/>
                <w:lang w:eastAsia="zh-CN"/>
              </w:rPr>
            </w:pPr>
            <w:r>
              <w:rPr>
                <w:rFonts w:eastAsia="宋体"/>
                <w:sz w:val="20"/>
                <w:szCs w:val="20"/>
                <w:lang w:eastAsia="zh-CN"/>
              </w:rPr>
              <w:t xml:space="preserve">Option 1: </w:t>
            </w:r>
          </w:p>
          <w:p>
            <w:pPr>
              <w:pStyle w:val="33"/>
              <w:numPr>
                <w:ilvl w:val="2"/>
                <w:numId w:val="10"/>
              </w:numPr>
              <w:overflowPunct/>
              <w:autoSpaceDE/>
              <w:autoSpaceDN w:val="0"/>
              <w:adjustRightInd/>
              <w:spacing w:after="120"/>
              <w:ind w:firstLineChars="0"/>
              <w:jc w:val="both"/>
              <w:textAlignment w:val="auto"/>
              <w:rPr>
                <w:rFonts w:eastAsia="宋体"/>
                <w:sz w:val="20"/>
                <w:szCs w:val="20"/>
                <w:lang w:eastAsia="zh-CN"/>
              </w:rPr>
            </w:pPr>
            <w:r>
              <w:rPr>
                <w:rFonts w:eastAsia="宋体"/>
                <w:sz w:val="20"/>
                <w:szCs w:val="20"/>
                <w:lang w:eastAsia="zh-CN"/>
              </w:rPr>
              <w:t>Keep the same NR NTN PDSCH requirements (SNR) even if the time-varying Doppler shift and propagation delay model is applied.</w:t>
            </w:r>
          </w:p>
          <w:p>
            <w:pPr>
              <w:pStyle w:val="33"/>
              <w:numPr>
                <w:ilvl w:val="2"/>
                <w:numId w:val="10"/>
              </w:numPr>
              <w:overflowPunct/>
              <w:autoSpaceDE/>
              <w:autoSpaceDN w:val="0"/>
              <w:adjustRightInd/>
              <w:spacing w:after="120"/>
              <w:ind w:firstLineChars="0"/>
              <w:jc w:val="both"/>
              <w:textAlignment w:val="auto"/>
              <w:rPr>
                <w:rFonts w:eastAsia="宋体"/>
                <w:sz w:val="20"/>
                <w:szCs w:val="20"/>
                <w:lang w:eastAsia="zh-CN"/>
              </w:rPr>
            </w:pPr>
            <w:r>
              <w:rPr>
                <w:rFonts w:eastAsia="宋体"/>
                <w:sz w:val="20"/>
                <w:szCs w:val="20"/>
                <w:lang w:eastAsia="zh-CN"/>
              </w:rPr>
              <w:t>Keep the same IoT NTN UE demodulation requirements (SNR) even if the time-varying Doppler shift and propagation delay model is applied.</w:t>
            </w:r>
          </w:p>
          <w:p>
            <w:pPr>
              <w:pStyle w:val="33"/>
              <w:numPr>
                <w:ilvl w:val="1"/>
                <w:numId w:val="10"/>
              </w:numPr>
              <w:overflowPunct/>
              <w:autoSpaceDE/>
              <w:autoSpaceDN w:val="0"/>
              <w:adjustRightInd/>
              <w:spacing w:after="120"/>
              <w:ind w:firstLineChars="0"/>
              <w:jc w:val="both"/>
              <w:textAlignment w:val="auto"/>
              <w:rPr>
                <w:rFonts w:eastAsia="宋体"/>
                <w:sz w:val="20"/>
                <w:szCs w:val="20"/>
                <w:lang w:eastAsia="zh-CN"/>
              </w:rPr>
            </w:pPr>
            <w:r>
              <w:rPr>
                <w:rFonts w:hint="eastAsia" w:eastAsia="宋体"/>
                <w:sz w:val="20"/>
                <w:szCs w:val="20"/>
                <w:lang w:eastAsia="zh-CN"/>
              </w:rPr>
              <w:t>Op</w:t>
            </w:r>
            <w:r>
              <w:rPr>
                <w:rFonts w:eastAsia="宋体"/>
                <w:sz w:val="20"/>
                <w:szCs w:val="20"/>
                <w:lang w:eastAsia="zh-CN"/>
              </w:rPr>
              <w:t>tion 2: 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pPr>
              <w:pStyle w:val="33"/>
              <w:numPr>
                <w:ilvl w:val="1"/>
                <w:numId w:val="10"/>
              </w:numPr>
              <w:overflowPunct w:val="0"/>
              <w:autoSpaceDE w:val="0"/>
              <w:autoSpaceDN w:val="0"/>
              <w:adjustRightInd w:val="0"/>
              <w:spacing w:after="180"/>
              <w:ind w:firstLineChars="0"/>
              <w:textAlignment w:val="baseline"/>
              <w:rPr>
                <w:sz w:val="20"/>
                <w:szCs w:val="20"/>
                <w:lang w:eastAsia="zh-CN"/>
              </w:rPr>
            </w:pPr>
            <w:r>
              <w:rPr>
                <w:rFonts w:eastAsia="宋体"/>
                <w:sz w:val="20"/>
                <w:szCs w:val="20"/>
                <w:lang w:eastAsia="zh-CN"/>
              </w:rPr>
              <w:t xml:space="preserve">Option 3: </w:t>
            </w:r>
          </w:p>
          <w:p>
            <w:pPr>
              <w:pStyle w:val="33"/>
              <w:numPr>
                <w:ilvl w:val="2"/>
                <w:numId w:val="10"/>
              </w:numPr>
              <w:overflowPunct w:val="0"/>
              <w:autoSpaceDE w:val="0"/>
              <w:autoSpaceDN w:val="0"/>
              <w:adjustRightInd w:val="0"/>
              <w:spacing w:after="180"/>
              <w:ind w:firstLineChars="0"/>
              <w:textAlignment w:val="baseline"/>
              <w:rPr>
                <w:sz w:val="20"/>
                <w:szCs w:val="20"/>
                <w:lang w:eastAsia="zh-CN"/>
              </w:rPr>
            </w:pPr>
            <w:r>
              <w:rPr>
                <w:sz w:val="20"/>
                <w:szCs w:val="20"/>
                <w:lang w:eastAsia="zh-CN"/>
              </w:rPr>
              <w:t>RAN4 shall start to agree parameters for using the NGSO channel model in order to understand whether the margin produced is acceptable to define requirements with.</w:t>
            </w:r>
          </w:p>
          <w:p>
            <w:pPr>
              <w:pStyle w:val="33"/>
              <w:numPr>
                <w:ilvl w:val="2"/>
                <w:numId w:val="10"/>
              </w:numPr>
              <w:overflowPunct w:val="0"/>
              <w:autoSpaceDE w:val="0"/>
              <w:autoSpaceDN w:val="0"/>
              <w:adjustRightInd w:val="0"/>
              <w:spacing w:after="180"/>
              <w:ind w:firstLineChars="0"/>
              <w:textAlignment w:val="baseline"/>
              <w:rPr>
                <w:sz w:val="20"/>
                <w:szCs w:val="20"/>
                <w:lang w:eastAsia="zh-CN"/>
              </w:rPr>
            </w:pPr>
            <w:r>
              <w:rPr>
                <w:sz w:val="20"/>
                <w:szCs w:val="20"/>
                <w:lang w:eastAsia="zh-CN"/>
              </w:rPr>
              <w:t>RAN4 shall use the new NGSO channel model for all performance requirements, in it’s current state.</w:t>
            </w:r>
          </w:p>
          <w:p>
            <w:pPr>
              <w:pStyle w:val="33"/>
              <w:numPr>
                <w:ilvl w:val="1"/>
                <w:numId w:val="10"/>
              </w:numPr>
              <w:overflowPunct/>
              <w:autoSpaceDE/>
              <w:autoSpaceDN/>
              <w:adjustRightInd/>
              <w:spacing w:after="120"/>
              <w:ind w:firstLineChars="0"/>
              <w:jc w:val="both"/>
              <w:textAlignment w:val="auto"/>
              <w:rPr>
                <w:b/>
                <w:bCs/>
                <w:u w:val="single"/>
                <w:vertAlign w:val="baseline"/>
                <w:lang w:val="en-US" w:eastAsia="zh-CN"/>
              </w:rPr>
            </w:pPr>
            <w:r>
              <w:rPr>
                <w:rFonts w:eastAsiaTheme="minorEastAsia"/>
                <w:sz w:val="20"/>
                <w:szCs w:val="20"/>
                <w:lang w:eastAsia="zh-CN"/>
              </w:rPr>
              <w:t>Option 4: After concluding discussions on the time-varying Doppler shift and propagation delay, initiate simulation campaigns to analyse the impact on demodulation requirements.</w:t>
            </w:r>
          </w:p>
        </w:tc>
      </w:tr>
    </w:tbl>
    <w:p>
      <w:pPr>
        <w:keepNext w:val="0"/>
        <w:keepLines w:val="0"/>
        <w:widowControl/>
        <w:suppressLineNumbers w:val="0"/>
        <w:jc w:val="both"/>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In the previous discussion at RAN4, it was agreed that both the TE and UE side would calculate the time delay and Doppler based on the model according to ephemeris information . The TE vendor needs to add the correct time delay and Doppler to the test environment during the test, and the UE vendor needs to estimate the time delay and Doppler for pre-compensation before the baseband. Compared to legacy requirements, RAN4 needs to consider residual Doppler and time delay after UE performs pre-compensation. Therefore, from the perspective of basedband demodulation, RAN4 should re-evaluate the legacy requirements under residual frequency offset and time delay conditions in light of the impact of time delay and Doppler effects. </w:t>
      </w:r>
    </w:p>
    <w:p>
      <w:pPr>
        <w:keepNext w:val="0"/>
        <w:keepLines w:val="0"/>
        <w:widowControl/>
        <w:suppressLineNumbers w:val="0"/>
        <w:jc w:val="both"/>
        <w:rPr>
          <w:rFonts w:hint="eastAsia" w:ascii="Times New Roman" w:hAnsi="Times New Roman" w:cs="Times New Roman"/>
          <w:b/>
          <w:bCs/>
          <w:i/>
          <w:iCs/>
          <w:sz w:val="21"/>
          <w:szCs w:val="21"/>
          <w:u w:val="none"/>
          <w:lang w:val="en-US" w:eastAsia="zh-CN"/>
        </w:rPr>
      </w:pPr>
      <w:r>
        <w:rPr>
          <w:rFonts w:hint="eastAsia" w:ascii="Times New Roman" w:hAnsi="Times New Roman" w:cs="Times New Roman"/>
          <w:b/>
          <w:bCs/>
          <w:i/>
          <w:iCs/>
          <w:sz w:val="21"/>
          <w:szCs w:val="21"/>
          <w:u w:val="none"/>
          <w:lang w:val="en-US" w:eastAsia="zh-CN"/>
        </w:rPr>
        <w:t>Observation 1. TE vendor needs to add the correct time delay and Doppler to the test environment during the test, and the UE vendor needs to estimate the time delay and Doppler for pre-compensation before the baseband.</w:t>
      </w:r>
    </w:p>
    <w:p>
      <w:pPr>
        <w:keepNext w:val="0"/>
        <w:keepLines w:val="0"/>
        <w:widowControl/>
        <w:suppressLineNumbers w:val="0"/>
        <w:jc w:val="both"/>
        <w:rPr>
          <w:rFonts w:hint="eastAsia" w:ascii="Times New Roman" w:hAnsi="Times New Roman" w:cs="Times New Roman"/>
          <w:b/>
          <w:bCs/>
          <w:i/>
          <w:iCs/>
          <w:sz w:val="21"/>
          <w:szCs w:val="21"/>
          <w:u w:val="none"/>
          <w:lang w:val="en-US" w:eastAsia="zh-CN"/>
        </w:rPr>
      </w:pPr>
      <w:r>
        <w:rPr>
          <w:rFonts w:hint="eastAsia" w:ascii="Times New Roman" w:hAnsi="Times New Roman" w:cs="Times New Roman"/>
          <w:b/>
          <w:bCs/>
          <w:i/>
          <w:iCs/>
          <w:sz w:val="21"/>
          <w:szCs w:val="21"/>
          <w:u w:val="none"/>
          <w:lang w:val="en-US" w:eastAsia="zh-CN"/>
        </w:rPr>
        <w:t>Proposal 1. Propose to consider residual frequency offset and time delay to re-evaluate the legacy requirements.</w:t>
      </w:r>
    </w:p>
    <w:p>
      <w:pPr>
        <w:keepNext w:val="0"/>
        <w:keepLines w:val="0"/>
        <w:widowControl/>
        <w:suppressLineNumbers w:val="0"/>
        <w:jc w:val="both"/>
        <w:rPr>
          <w:rFonts w:hint="eastAsia" w:ascii="Times New Roman" w:hAnsi="Times New Roman" w:cs="Times New Roman"/>
          <w:b/>
          <w:bCs/>
          <w:i/>
          <w:iCs/>
          <w:sz w:val="21"/>
          <w:szCs w:val="21"/>
          <w:u w:val="none"/>
          <w:lang w:val="en-US" w:eastAsia="zh-CN"/>
        </w:rPr>
      </w:pPr>
    </w:p>
    <w:p>
      <w:pPr>
        <w:tabs>
          <w:tab w:val="left" w:pos="1440"/>
        </w:tabs>
        <w:jc w:val="both"/>
        <w:rPr>
          <w:b/>
          <w:bCs/>
          <w:u w:val="single"/>
          <w:lang w:val="en-US" w:eastAsia="zh-CN"/>
        </w:rPr>
      </w:pPr>
      <w:r>
        <w:rPr>
          <w:b/>
          <w:bCs/>
          <w:u w:val="single"/>
          <w:lang w:val="en-US" w:eastAsia="zh-CN"/>
        </w:rPr>
        <w:t xml:space="preserve">Test cases for NR NTN with applying time varying Doppler Shift and propagation delay model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10"/>
              </w:numPr>
              <w:overflowPunct/>
              <w:autoSpaceDE/>
              <w:autoSpaceDN w:val="0"/>
              <w:adjustRightInd/>
              <w:spacing w:after="120"/>
              <w:ind w:left="720" w:firstLineChars="0"/>
              <w:jc w:val="both"/>
              <w:textAlignment w:val="auto"/>
              <w:rPr>
                <w:rFonts w:eastAsia="宋体"/>
                <w:sz w:val="20"/>
                <w:szCs w:val="20"/>
                <w:lang w:eastAsia="zh-CN"/>
              </w:rPr>
            </w:pPr>
            <w:r>
              <w:rPr>
                <w:rFonts w:eastAsia="宋体"/>
                <w:sz w:val="20"/>
                <w:szCs w:val="20"/>
                <w:lang w:eastAsia="zh-CN"/>
              </w:rPr>
              <w:t xml:space="preserve">agreement </w:t>
            </w:r>
          </w:p>
          <w:p>
            <w:pPr>
              <w:pStyle w:val="33"/>
              <w:numPr>
                <w:ilvl w:val="1"/>
                <w:numId w:val="10"/>
              </w:numPr>
              <w:overflowPunct/>
              <w:autoSpaceDE/>
              <w:autoSpaceDN/>
              <w:adjustRightInd/>
              <w:spacing w:after="120"/>
              <w:ind w:left="1440" w:firstLineChars="0"/>
              <w:jc w:val="both"/>
              <w:textAlignment w:val="auto"/>
              <w:rPr>
                <w:rFonts w:eastAsia="宋体"/>
                <w:sz w:val="20"/>
                <w:szCs w:val="20"/>
                <w:lang w:eastAsia="zh-CN"/>
              </w:rPr>
            </w:pPr>
            <w:r>
              <w:rPr>
                <w:rFonts w:eastAsia="宋体"/>
                <w:sz w:val="20"/>
                <w:szCs w:val="20"/>
                <w:lang w:eastAsia="zh-CN"/>
              </w:rPr>
              <w:t>Apply the time-varying Doppler shift and propagation delay model with LEO-600 30 degrees elevation angle condition to TS 38.101-5 Clause 8.2.1.2.2.1 Test 1-1 and Test 1-2.</w:t>
            </w:r>
          </w:p>
          <w:p>
            <w:pPr>
              <w:pStyle w:val="33"/>
              <w:numPr>
                <w:ilvl w:val="1"/>
                <w:numId w:val="10"/>
              </w:numPr>
              <w:overflowPunct/>
              <w:autoSpaceDE/>
              <w:autoSpaceDN/>
              <w:adjustRightInd/>
              <w:spacing w:after="120"/>
              <w:ind w:left="1440" w:firstLineChars="0"/>
              <w:jc w:val="both"/>
              <w:textAlignment w:val="auto"/>
              <w:rPr>
                <w:rFonts w:eastAsia="宋体"/>
                <w:sz w:val="20"/>
                <w:szCs w:val="20"/>
                <w:lang w:eastAsia="zh-CN"/>
              </w:rPr>
            </w:pPr>
            <w:r>
              <w:rPr>
                <w:rFonts w:hint="eastAsia" w:eastAsia="宋体"/>
                <w:sz w:val="20"/>
                <w:szCs w:val="20"/>
                <w:lang w:eastAsia="zh-CN"/>
              </w:rPr>
              <w:t>F</w:t>
            </w:r>
            <w:r>
              <w:rPr>
                <w:rFonts w:eastAsia="宋体"/>
                <w:sz w:val="20"/>
                <w:szCs w:val="20"/>
                <w:lang w:eastAsia="zh-CN"/>
              </w:rPr>
              <w:t>FS on test 1-3 and 1-4</w:t>
            </w:r>
          </w:p>
          <w:p>
            <w:pPr>
              <w:pStyle w:val="33"/>
              <w:numPr>
                <w:ilvl w:val="2"/>
                <w:numId w:val="10"/>
              </w:numPr>
              <w:overflowPunct/>
              <w:autoSpaceDE/>
              <w:autoSpaceDN/>
              <w:adjustRightInd/>
              <w:spacing w:after="120"/>
              <w:ind w:firstLineChars="0"/>
              <w:jc w:val="both"/>
              <w:textAlignment w:val="auto"/>
              <w:rPr>
                <w:rFonts w:hint="eastAsia" w:ascii="Times New Roman" w:hAnsi="Times New Roman" w:cs="Times New Roman"/>
                <w:b/>
                <w:bCs/>
                <w:i/>
                <w:iCs/>
                <w:sz w:val="21"/>
                <w:szCs w:val="21"/>
                <w:u w:val="none"/>
                <w:vertAlign w:val="baseline"/>
                <w:lang w:val="en-US" w:eastAsia="zh-CN"/>
              </w:rPr>
            </w:pPr>
            <w:r>
              <w:rPr>
                <w:rFonts w:hint="eastAsia" w:eastAsia="宋体"/>
                <w:sz w:val="20"/>
                <w:szCs w:val="20"/>
                <w:lang w:eastAsia="zh-CN"/>
              </w:rPr>
              <w:t>N</w:t>
            </w:r>
            <w:r>
              <w:rPr>
                <w:rFonts w:eastAsia="宋体"/>
                <w:sz w:val="20"/>
                <w:szCs w:val="20"/>
                <w:lang w:eastAsia="zh-CN"/>
              </w:rPr>
              <w:t>ote: test 1-3 is related with UE capability to support 32 HARQ process, and test 1-4 is related with UE capability with HARQ disable</w:t>
            </w:r>
          </w:p>
        </w:tc>
      </w:tr>
    </w:tbl>
    <w:p>
      <w:pPr>
        <w:keepNext w:val="0"/>
        <w:keepLines w:val="0"/>
        <w:widowControl/>
        <w:suppressLineNumbers w:val="0"/>
        <w:jc w:val="both"/>
      </w:pPr>
      <w:r>
        <w:rPr>
          <w:rFonts w:hint="eastAsia"/>
          <w:lang w:val="en-US" w:eastAsia="zh-CN"/>
        </w:rPr>
        <w:t xml:space="preserve">In legacy requirements, test 1-1 and test 1-2 are related to supporting 16 HARQ process, a mandatory feature. Test 1-3 is related with U capability to support 32 HARQ process, and test 1-4 is related with UE capability with HARQ disable, both are optional features. Also in WID[1], it is clearly stated that the demodulation performance requirements should be minimized. Therefore, we propose to only consider test cases 1-1 and 1-2 for NR NTN with applying time varying Doppler Shift and propagation delay model. </w:t>
      </w:r>
    </w:p>
    <w:p>
      <w:pPr>
        <w:keepNext w:val="0"/>
        <w:keepLines w:val="0"/>
        <w:widowControl/>
        <w:suppressLineNumbers w:val="0"/>
        <w:jc w:val="both"/>
        <w:rPr>
          <w:rFonts w:hint="default" w:ascii="Times New Roman" w:hAnsi="Times New Roman" w:cs="Times New Roman"/>
          <w:b/>
          <w:bCs/>
          <w:i/>
          <w:iCs/>
          <w:sz w:val="21"/>
          <w:szCs w:val="21"/>
          <w:u w:val="none"/>
          <w:lang w:val="en-US" w:eastAsia="zh-CN"/>
        </w:rPr>
      </w:pPr>
      <w:r>
        <w:rPr>
          <w:rFonts w:hint="eastAsia" w:ascii="Times New Roman" w:hAnsi="Times New Roman" w:cs="Times New Roman"/>
          <w:b/>
          <w:bCs/>
          <w:i/>
          <w:iCs/>
          <w:sz w:val="21"/>
          <w:szCs w:val="21"/>
          <w:u w:val="none"/>
          <w:lang w:val="en-US" w:eastAsia="zh-CN"/>
        </w:rPr>
        <w:t xml:space="preserve">Proposal </w:t>
      </w:r>
      <w:r>
        <w:rPr>
          <w:rFonts w:hint="eastAsia" w:cs="Times New Roman"/>
          <w:b/>
          <w:bCs/>
          <w:i/>
          <w:iCs/>
          <w:sz w:val="21"/>
          <w:szCs w:val="21"/>
          <w:u w:val="none"/>
          <w:lang w:val="en-US" w:eastAsia="zh-CN"/>
        </w:rPr>
        <w:t xml:space="preserve">2. Propose to only consider test cases 1-1 and 1-2 for NR NTN with applying time varying Doppler Shift and propagation delay model.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bookmarkStart w:id="4" w:name="OLE_LINK23"/>
      <w:bookmarkStart w:id="5" w:name="OLE_LINK6"/>
      <w:bookmarkStart w:id="6" w:name="OLE_LINK41"/>
      <w:bookmarkStart w:id="7" w:name="OLE_LINK66"/>
      <w:bookmarkStart w:id="8" w:name="_GoBack"/>
      <w:bookmarkEnd w:id="8"/>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NTN_testing_NGSO_channel_model, The conclusions are:</w:t>
      </w:r>
    </w:p>
    <w:p>
      <w:pPr>
        <w:keepNext w:val="0"/>
        <w:keepLines w:val="0"/>
        <w:widowControl/>
        <w:suppressLineNumbers w:val="0"/>
        <w:jc w:val="both"/>
        <w:rPr>
          <w:rFonts w:hint="eastAsia" w:ascii="Times New Roman" w:hAnsi="Times New Roman" w:cs="Times New Roman"/>
          <w:b/>
          <w:bCs/>
          <w:i/>
          <w:iCs/>
          <w:sz w:val="21"/>
          <w:szCs w:val="21"/>
          <w:u w:val="none"/>
          <w:lang w:val="en-US" w:eastAsia="zh-CN"/>
        </w:rPr>
      </w:pPr>
      <w:r>
        <w:rPr>
          <w:rFonts w:hint="eastAsia" w:ascii="Times New Roman" w:hAnsi="Times New Roman" w:cs="Times New Roman"/>
          <w:b/>
          <w:bCs/>
          <w:i/>
          <w:iCs/>
          <w:sz w:val="21"/>
          <w:szCs w:val="21"/>
          <w:u w:val="none"/>
          <w:lang w:val="en-US" w:eastAsia="zh-CN"/>
        </w:rPr>
        <w:t>Observation 1. TE vendor needs to add the correct time delay and Doppler to the test environment during the test, and the UE vendor needs to estimate the time delay and Doppler for pre-compensation before the baseband.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sz w:val="21"/>
          <w:szCs w:val="21"/>
          <w:u w:val="none"/>
          <w:lang w:val="en-US" w:eastAsia="zh-CN"/>
        </w:rPr>
      </w:pPr>
      <w:r>
        <w:rPr>
          <w:rFonts w:hint="eastAsia" w:ascii="Times New Roman" w:hAnsi="Times New Roman" w:cs="Times New Roman"/>
          <w:b/>
          <w:bCs/>
          <w:i/>
          <w:iCs/>
          <w:sz w:val="21"/>
          <w:szCs w:val="21"/>
          <w:u w:val="none"/>
          <w:lang w:val="en-US" w:eastAsia="zh-CN"/>
        </w:rPr>
        <w:t>Proposal 1. Propose to consider residual frequency offset and time delay to re-evaluate the legacy requirement</w:t>
      </w:r>
      <w:r>
        <w:rPr>
          <w:rFonts w:hint="eastAsia" w:cs="Times New Roman"/>
          <w:b/>
          <w:bCs/>
          <w:i/>
          <w:iCs/>
          <w:sz w:val="21"/>
          <w:szCs w:val="21"/>
          <w:u w:val="none"/>
          <w:lang w:val="en-US" w:eastAsia="zh-CN"/>
        </w:rPr>
        <w:t>.</w:t>
      </w:r>
    </w:p>
    <w:p>
      <w:pPr>
        <w:keepNext w:val="0"/>
        <w:keepLines w:val="0"/>
        <w:widowControl/>
        <w:suppressLineNumbers w:val="0"/>
        <w:jc w:val="both"/>
        <w:rPr>
          <w:rFonts w:hint="default" w:ascii="Times New Roman" w:hAnsi="Times New Roman" w:cs="Times New Roman"/>
          <w:b/>
          <w:bCs/>
          <w:i/>
          <w:iCs/>
          <w:sz w:val="21"/>
          <w:szCs w:val="21"/>
          <w:u w:val="none"/>
          <w:lang w:val="en-US" w:eastAsia="zh-CN"/>
        </w:rPr>
      </w:pPr>
      <w:r>
        <w:rPr>
          <w:rFonts w:hint="eastAsia" w:ascii="Times New Roman" w:hAnsi="Times New Roman" w:cs="Times New Roman"/>
          <w:b/>
          <w:bCs/>
          <w:i/>
          <w:iCs/>
          <w:sz w:val="21"/>
          <w:szCs w:val="21"/>
          <w:u w:val="none"/>
          <w:lang w:val="en-US" w:eastAsia="zh-CN"/>
        </w:rPr>
        <w:t xml:space="preserve">Proposal </w:t>
      </w:r>
      <w:r>
        <w:rPr>
          <w:rFonts w:hint="eastAsia" w:cs="Times New Roman"/>
          <w:b/>
          <w:bCs/>
          <w:i/>
          <w:iCs/>
          <w:sz w:val="21"/>
          <w:szCs w:val="21"/>
          <w:u w:val="none"/>
          <w:lang w:val="en-US" w:eastAsia="zh-CN"/>
        </w:rPr>
        <w:t xml:space="preserve">2. Propose to only consider test cases 1-1 and 1-2 for NR NTN with applying time varying Doppler Shift and propagation delay model.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sz w:val="21"/>
          <w:szCs w:val="21"/>
          <w:u w:val="none"/>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1"/>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RP-241281, Revised WID on Enhanced requirements and conductive test methodology for NR NTN and IoT NTN.</w:t>
      </w:r>
    </w:p>
    <w:p>
      <w:pPr>
        <w:pStyle w:val="33"/>
        <w:numPr>
          <w:ilvl w:val="0"/>
          <w:numId w:val="0"/>
        </w:numPr>
        <w:spacing w:afterLines="0" w:line="259" w:lineRule="auto"/>
        <w:ind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BDF65F6"/>
    <w:multiLevelType w:val="multilevel"/>
    <w:tmpl w:val="4BDF65F6"/>
    <w:lvl w:ilvl="0" w:tentative="0">
      <w:start w:val="1"/>
      <w:numFmt w:val="decimal"/>
      <w:pStyle w:val="76"/>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trike w:val="0"/>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10"/>
  </w:num>
  <w:num w:numId="3">
    <w:abstractNumId w:val="5"/>
  </w:num>
  <w:num w:numId="4">
    <w:abstractNumId w:val="6"/>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3F77"/>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1932FC"/>
    <w:rsid w:val="03280EF8"/>
    <w:rsid w:val="033C68CE"/>
    <w:rsid w:val="03405757"/>
    <w:rsid w:val="034267AF"/>
    <w:rsid w:val="03445E8F"/>
    <w:rsid w:val="034870E9"/>
    <w:rsid w:val="03496C64"/>
    <w:rsid w:val="035154D3"/>
    <w:rsid w:val="035213C0"/>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1B682C"/>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372E"/>
    <w:rsid w:val="05B14F23"/>
    <w:rsid w:val="05B70EED"/>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4C1EC9"/>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EE36C9"/>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B481E"/>
    <w:rsid w:val="07BE52B9"/>
    <w:rsid w:val="07BF184E"/>
    <w:rsid w:val="07C32C10"/>
    <w:rsid w:val="07C55A1A"/>
    <w:rsid w:val="07D57946"/>
    <w:rsid w:val="07D7263A"/>
    <w:rsid w:val="07E20E7C"/>
    <w:rsid w:val="07EC3358"/>
    <w:rsid w:val="07ED524D"/>
    <w:rsid w:val="07EF5756"/>
    <w:rsid w:val="080124E3"/>
    <w:rsid w:val="080C7FA0"/>
    <w:rsid w:val="08193C24"/>
    <w:rsid w:val="08234820"/>
    <w:rsid w:val="082D3A02"/>
    <w:rsid w:val="08311985"/>
    <w:rsid w:val="08341060"/>
    <w:rsid w:val="083B1905"/>
    <w:rsid w:val="085F33CA"/>
    <w:rsid w:val="08732D34"/>
    <w:rsid w:val="08787FF0"/>
    <w:rsid w:val="088176B0"/>
    <w:rsid w:val="0889002B"/>
    <w:rsid w:val="089B79AC"/>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26DB"/>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3204C"/>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C7AEB"/>
    <w:rsid w:val="0B9E71DF"/>
    <w:rsid w:val="0BA92AE5"/>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65D5C"/>
    <w:rsid w:val="0EB72E4B"/>
    <w:rsid w:val="0EE235F9"/>
    <w:rsid w:val="0EEC6F1D"/>
    <w:rsid w:val="0F0419EB"/>
    <w:rsid w:val="0F103291"/>
    <w:rsid w:val="0F1D498B"/>
    <w:rsid w:val="0F1E5A47"/>
    <w:rsid w:val="0F337178"/>
    <w:rsid w:val="0F357A41"/>
    <w:rsid w:val="0F3B15FC"/>
    <w:rsid w:val="0F41022A"/>
    <w:rsid w:val="0F56743B"/>
    <w:rsid w:val="0F60682C"/>
    <w:rsid w:val="0F6763D9"/>
    <w:rsid w:val="0F696D55"/>
    <w:rsid w:val="0F715B2B"/>
    <w:rsid w:val="0F752B68"/>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400B7A"/>
    <w:rsid w:val="1355107F"/>
    <w:rsid w:val="135D4D2E"/>
    <w:rsid w:val="1366378C"/>
    <w:rsid w:val="1366638D"/>
    <w:rsid w:val="136D76E8"/>
    <w:rsid w:val="137266E0"/>
    <w:rsid w:val="13735B23"/>
    <w:rsid w:val="138141DF"/>
    <w:rsid w:val="138B3A0B"/>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23F8D"/>
    <w:rsid w:val="1644500C"/>
    <w:rsid w:val="16461A95"/>
    <w:rsid w:val="164E072F"/>
    <w:rsid w:val="16555897"/>
    <w:rsid w:val="16594F06"/>
    <w:rsid w:val="165A38E6"/>
    <w:rsid w:val="165C0F09"/>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212AC"/>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9F5068"/>
    <w:rsid w:val="19B02FFE"/>
    <w:rsid w:val="19B30945"/>
    <w:rsid w:val="19B46E10"/>
    <w:rsid w:val="19B572A5"/>
    <w:rsid w:val="19B9603A"/>
    <w:rsid w:val="19C456C1"/>
    <w:rsid w:val="19D11130"/>
    <w:rsid w:val="19F061A1"/>
    <w:rsid w:val="1A054259"/>
    <w:rsid w:val="1A081816"/>
    <w:rsid w:val="1A0C5680"/>
    <w:rsid w:val="1A165171"/>
    <w:rsid w:val="1A2A4993"/>
    <w:rsid w:val="1A4858FF"/>
    <w:rsid w:val="1A4C698A"/>
    <w:rsid w:val="1A4F223F"/>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3F39AF"/>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3C06E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CD0BC2"/>
    <w:rsid w:val="1DE94164"/>
    <w:rsid w:val="1DEE1B11"/>
    <w:rsid w:val="1E1149E3"/>
    <w:rsid w:val="1E164B52"/>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172C87"/>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004D4"/>
    <w:rsid w:val="2057409C"/>
    <w:rsid w:val="205A5AA0"/>
    <w:rsid w:val="20773A28"/>
    <w:rsid w:val="208115A6"/>
    <w:rsid w:val="208574F4"/>
    <w:rsid w:val="208C4449"/>
    <w:rsid w:val="208D6150"/>
    <w:rsid w:val="208F6BAF"/>
    <w:rsid w:val="20A462BA"/>
    <w:rsid w:val="20BF2AAC"/>
    <w:rsid w:val="20C6521D"/>
    <w:rsid w:val="20C849C7"/>
    <w:rsid w:val="20DF66D2"/>
    <w:rsid w:val="20EC3F2E"/>
    <w:rsid w:val="20EC7C3E"/>
    <w:rsid w:val="210548E9"/>
    <w:rsid w:val="21124D15"/>
    <w:rsid w:val="211C6B81"/>
    <w:rsid w:val="213E7119"/>
    <w:rsid w:val="21530058"/>
    <w:rsid w:val="215A6B6E"/>
    <w:rsid w:val="21732704"/>
    <w:rsid w:val="217D15BC"/>
    <w:rsid w:val="21810744"/>
    <w:rsid w:val="218D2B42"/>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BF43F3"/>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E4E5F"/>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3C03FB"/>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D4286A"/>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8B759B"/>
    <w:rsid w:val="28937D89"/>
    <w:rsid w:val="289B0550"/>
    <w:rsid w:val="28B30EAC"/>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3F5E73"/>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55E95"/>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A325B"/>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26000"/>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55732C"/>
    <w:rsid w:val="3069082A"/>
    <w:rsid w:val="3069301C"/>
    <w:rsid w:val="307B0C38"/>
    <w:rsid w:val="30926F91"/>
    <w:rsid w:val="30962F3E"/>
    <w:rsid w:val="309A3A50"/>
    <w:rsid w:val="30AA2585"/>
    <w:rsid w:val="30BB7FEE"/>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536FF"/>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43754"/>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E50A5"/>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AF7BFE"/>
    <w:rsid w:val="34B961B7"/>
    <w:rsid w:val="34BD02AE"/>
    <w:rsid w:val="34D97827"/>
    <w:rsid w:val="34DA26A8"/>
    <w:rsid w:val="34E960F1"/>
    <w:rsid w:val="350B42D5"/>
    <w:rsid w:val="350F6258"/>
    <w:rsid w:val="351A603C"/>
    <w:rsid w:val="352821F6"/>
    <w:rsid w:val="3533698A"/>
    <w:rsid w:val="35384CA5"/>
    <w:rsid w:val="35387F19"/>
    <w:rsid w:val="3539550B"/>
    <w:rsid w:val="353B2F9D"/>
    <w:rsid w:val="354C1347"/>
    <w:rsid w:val="356678B4"/>
    <w:rsid w:val="3573649F"/>
    <w:rsid w:val="357E4B0A"/>
    <w:rsid w:val="35853A75"/>
    <w:rsid w:val="35866D7F"/>
    <w:rsid w:val="358F6BDF"/>
    <w:rsid w:val="359818E2"/>
    <w:rsid w:val="359B1D3D"/>
    <w:rsid w:val="35C06D50"/>
    <w:rsid w:val="35C34243"/>
    <w:rsid w:val="35CD6F14"/>
    <w:rsid w:val="35D24294"/>
    <w:rsid w:val="35D71152"/>
    <w:rsid w:val="35E46803"/>
    <w:rsid w:val="35EF65E1"/>
    <w:rsid w:val="35FF6F3C"/>
    <w:rsid w:val="36075F27"/>
    <w:rsid w:val="360D1C5B"/>
    <w:rsid w:val="36121506"/>
    <w:rsid w:val="36146BB5"/>
    <w:rsid w:val="36182B79"/>
    <w:rsid w:val="361D7A43"/>
    <w:rsid w:val="361F3323"/>
    <w:rsid w:val="362167DA"/>
    <w:rsid w:val="36402EFA"/>
    <w:rsid w:val="36496A51"/>
    <w:rsid w:val="365623F6"/>
    <w:rsid w:val="367126DE"/>
    <w:rsid w:val="367F4015"/>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23D7D"/>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307BE"/>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B20883"/>
    <w:rsid w:val="3BC34E75"/>
    <w:rsid w:val="3BCB270F"/>
    <w:rsid w:val="3BD65E7E"/>
    <w:rsid w:val="3BD96AA6"/>
    <w:rsid w:val="3BED002E"/>
    <w:rsid w:val="3BF73E90"/>
    <w:rsid w:val="3C0429BF"/>
    <w:rsid w:val="3C050185"/>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BF6DD7"/>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4F2C29"/>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A04FA"/>
    <w:rsid w:val="3E3D6B96"/>
    <w:rsid w:val="3E441C7D"/>
    <w:rsid w:val="3E490256"/>
    <w:rsid w:val="3E4C2696"/>
    <w:rsid w:val="3E55739E"/>
    <w:rsid w:val="3E610D47"/>
    <w:rsid w:val="3E6C43C8"/>
    <w:rsid w:val="3E814327"/>
    <w:rsid w:val="3E8227F0"/>
    <w:rsid w:val="3E8505CC"/>
    <w:rsid w:val="3E8E48EA"/>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07741B"/>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3C0F6F"/>
    <w:rsid w:val="41513BC9"/>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5C3F"/>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A5DFC"/>
    <w:rsid w:val="43EC6F1F"/>
    <w:rsid w:val="43FE44BA"/>
    <w:rsid w:val="440D5045"/>
    <w:rsid w:val="440F6C97"/>
    <w:rsid w:val="442F5E9B"/>
    <w:rsid w:val="44300615"/>
    <w:rsid w:val="44371929"/>
    <w:rsid w:val="443740AF"/>
    <w:rsid w:val="44394DDE"/>
    <w:rsid w:val="443C7164"/>
    <w:rsid w:val="443F5998"/>
    <w:rsid w:val="44476826"/>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34C44"/>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C0626"/>
    <w:rsid w:val="464E0973"/>
    <w:rsid w:val="465056E7"/>
    <w:rsid w:val="46525D03"/>
    <w:rsid w:val="46531D97"/>
    <w:rsid w:val="46545CE0"/>
    <w:rsid w:val="46555DC3"/>
    <w:rsid w:val="46617DB2"/>
    <w:rsid w:val="46621065"/>
    <w:rsid w:val="466463D6"/>
    <w:rsid w:val="46665198"/>
    <w:rsid w:val="46697236"/>
    <w:rsid w:val="466E0172"/>
    <w:rsid w:val="46770F8B"/>
    <w:rsid w:val="467C16FA"/>
    <w:rsid w:val="46894B18"/>
    <w:rsid w:val="469448C6"/>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2BA0"/>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AFD67B3"/>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14CF5"/>
    <w:rsid w:val="4BB36BDD"/>
    <w:rsid w:val="4BB60507"/>
    <w:rsid w:val="4BC32290"/>
    <w:rsid w:val="4BC62EEA"/>
    <w:rsid w:val="4BC80340"/>
    <w:rsid w:val="4BCA5171"/>
    <w:rsid w:val="4BD0339A"/>
    <w:rsid w:val="4BEB4B03"/>
    <w:rsid w:val="4BF32495"/>
    <w:rsid w:val="4BFA3FA2"/>
    <w:rsid w:val="4C2910DF"/>
    <w:rsid w:val="4C2B4DDD"/>
    <w:rsid w:val="4C311D18"/>
    <w:rsid w:val="4C35425B"/>
    <w:rsid w:val="4C562920"/>
    <w:rsid w:val="4C5C459D"/>
    <w:rsid w:val="4C5D1F92"/>
    <w:rsid w:val="4C603F16"/>
    <w:rsid w:val="4C6262E0"/>
    <w:rsid w:val="4C644C45"/>
    <w:rsid w:val="4C6703A3"/>
    <w:rsid w:val="4C694B6C"/>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DF71285"/>
    <w:rsid w:val="4E0538A3"/>
    <w:rsid w:val="4E0E6818"/>
    <w:rsid w:val="4E2603A1"/>
    <w:rsid w:val="4E27683A"/>
    <w:rsid w:val="4E321D35"/>
    <w:rsid w:val="4E3971D6"/>
    <w:rsid w:val="4E397241"/>
    <w:rsid w:val="4E4C50A3"/>
    <w:rsid w:val="4E507CCA"/>
    <w:rsid w:val="4E510698"/>
    <w:rsid w:val="4E57039B"/>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90372"/>
    <w:rsid w:val="4F2A7BF3"/>
    <w:rsid w:val="4F2E2624"/>
    <w:rsid w:val="4F4E1077"/>
    <w:rsid w:val="4F546156"/>
    <w:rsid w:val="4F5D1434"/>
    <w:rsid w:val="4F714D46"/>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1E5890"/>
    <w:rsid w:val="532F77EA"/>
    <w:rsid w:val="53367575"/>
    <w:rsid w:val="533933AA"/>
    <w:rsid w:val="533B7F54"/>
    <w:rsid w:val="535009E1"/>
    <w:rsid w:val="53650168"/>
    <w:rsid w:val="536C2A29"/>
    <w:rsid w:val="538859E4"/>
    <w:rsid w:val="538E3092"/>
    <w:rsid w:val="53977283"/>
    <w:rsid w:val="539F394B"/>
    <w:rsid w:val="53A20FFA"/>
    <w:rsid w:val="53A233E4"/>
    <w:rsid w:val="53A64A8C"/>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949F7"/>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7090D"/>
    <w:rsid w:val="550B4121"/>
    <w:rsid w:val="550D5CFC"/>
    <w:rsid w:val="550F3357"/>
    <w:rsid w:val="55126CC5"/>
    <w:rsid w:val="55197997"/>
    <w:rsid w:val="551B7F0A"/>
    <w:rsid w:val="551C15E5"/>
    <w:rsid w:val="5529396E"/>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02130"/>
    <w:rsid w:val="57011F3E"/>
    <w:rsid w:val="5705646B"/>
    <w:rsid w:val="57060649"/>
    <w:rsid w:val="571F610E"/>
    <w:rsid w:val="572657E3"/>
    <w:rsid w:val="5732705F"/>
    <w:rsid w:val="57351D6F"/>
    <w:rsid w:val="57420238"/>
    <w:rsid w:val="57482CC2"/>
    <w:rsid w:val="5752012F"/>
    <w:rsid w:val="576476C1"/>
    <w:rsid w:val="577022EB"/>
    <w:rsid w:val="57770501"/>
    <w:rsid w:val="577B3337"/>
    <w:rsid w:val="577D4F28"/>
    <w:rsid w:val="577E0EC6"/>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7F30A1"/>
    <w:rsid w:val="5B833F97"/>
    <w:rsid w:val="5B9004A9"/>
    <w:rsid w:val="5B907C6C"/>
    <w:rsid w:val="5B9251EF"/>
    <w:rsid w:val="5B9A54FA"/>
    <w:rsid w:val="5BAB5BC4"/>
    <w:rsid w:val="5BB054DF"/>
    <w:rsid w:val="5BB20B74"/>
    <w:rsid w:val="5BC0540F"/>
    <w:rsid w:val="5BC079F3"/>
    <w:rsid w:val="5BC677D8"/>
    <w:rsid w:val="5BE52633"/>
    <w:rsid w:val="5BEA3E7B"/>
    <w:rsid w:val="5BEB0120"/>
    <w:rsid w:val="5BEC175C"/>
    <w:rsid w:val="5BF50444"/>
    <w:rsid w:val="5C097C4E"/>
    <w:rsid w:val="5C1A3A93"/>
    <w:rsid w:val="5C235386"/>
    <w:rsid w:val="5C2D4753"/>
    <w:rsid w:val="5C2E6510"/>
    <w:rsid w:val="5C3B6CFC"/>
    <w:rsid w:val="5C4C2CF4"/>
    <w:rsid w:val="5C615117"/>
    <w:rsid w:val="5C6B1600"/>
    <w:rsid w:val="5C7D70D1"/>
    <w:rsid w:val="5C824577"/>
    <w:rsid w:val="5C8542A8"/>
    <w:rsid w:val="5CA6294E"/>
    <w:rsid w:val="5CC23E53"/>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0568B"/>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50A3D"/>
    <w:rsid w:val="5E4F1C2F"/>
    <w:rsid w:val="5E5203B8"/>
    <w:rsid w:val="5E5D7D0E"/>
    <w:rsid w:val="5E6A5399"/>
    <w:rsid w:val="5E71373F"/>
    <w:rsid w:val="5E717191"/>
    <w:rsid w:val="5E830708"/>
    <w:rsid w:val="5E831398"/>
    <w:rsid w:val="5E85633A"/>
    <w:rsid w:val="5E921A45"/>
    <w:rsid w:val="5E975993"/>
    <w:rsid w:val="5EA079E5"/>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565E3"/>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1D78"/>
    <w:rsid w:val="60183392"/>
    <w:rsid w:val="601A4CB1"/>
    <w:rsid w:val="601B56CB"/>
    <w:rsid w:val="602C236D"/>
    <w:rsid w:val="603967D7"/>
    <w:rsid w:val="603D3325"/>
    <w:rsid w:val="604040A8"/>
    <w:rsid w:val="60470CE3"/>
    <w:rsid w:val="605214E2"/>
    <w:rsid w:val="605A0DEE"/>
    <w:rsid w:val="606711B4"/>
    <w:rsid w:val="60673C40"/>
    <w:rsid w:val="606768A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25014"/>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5734AE"/>
    <w:rsid w:val="64742B63"/>
    <w:rsid w:val="647E661E"/>
    <w:rsid w:val="648939AA"/>
    <w:rsid w:val="648C635C"/>
    <w:rsid w:val="649B1AC2"/>
    <w:rsid w:val="64A64998"/>
    <w:rsid w:val="64A7467B"/>
    <w:rsid w:val="64AB3765"/>
    <w:rsid w:val="64B53322"/>
    <w:rsid w:val="64C61AF8"/>
    <w:rsid w:val="64C86505"/>
    <w:rsid w:val="64CA0AA0"/>
    <w:rsid w:val="64CF2CAC"/>
    <w:rsid w:val="64FE700F"/>
    <w:rsid w:val="6500327F"/>
    <w:rsid w:val="65015C46"/>
    <w:rsid w:val="6506609B"/>
    <w:rsid w:val="65083216"/>
    <w:rsid w:val="65460728"/>
    <w:rsid w:val="65822810"/>
    <w:rsid w:val="65870C45"/>
    <w:rsid w:val="65880B16"/>
    <w:rsid w:val="659705FF"/>
    <w:rsid w:val="65AA6346"/>
    <w:rsid w:val="65B56C47"/>
    <w:rsid w:val="65B8262E"/>
    <w:rsid w:val="65BC15EE"/>
    <w:rsid w:val="65D23D59"/>
    <w:rsid w:val="65D26FF5"/>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97255"/>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D9079D"/>
    <w:rsid w:val="6CEA5850"/>
    <w:rsid w:val="6CFD5D1F"/>
    <w:rsid w:val="6CFE035F"/>
    <w:rsid w:val="6D056EA6"/>
    <w:rsid w:val="6D1766A9"/>
    <w:rsid w:val="6D221E52"/>
    <w:rsid w:val="6D227835"/>
    <w:rsid w:val="6D2834C8"/>
    <w:rsid w:val="6D2F1F0B"/>
    <w:rsid w:val="6D3C6626"/>
    <w:rsid w:val="6D403840"/>
    <w:rsid w:val="6D5D0DB5"/>
    <w:rsid w:val="6D6855B1"/>
    <w:rsid w:val="6D7722D7"/>
    <w:rsid w:val="6D7B4AB7"/>
    <w:rsid w:val="6D836C02"/>
    <w:rsid w:val="6D89784B"/>
    <w:rsid w:val="6D9057BE"/>
    <w:rsid w:val="6D9D64E4"/>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12CC9"/>
    <w:rsid w:val="6FC9052A"/>
    <w:rsid w:val="6FC9109F"/>
    <w:rsid w:val="6FCF2F80"/>
    <w:rsid w:val="6FDA78EB"/>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CE331C"/>
    <w:rsid w:val="70FC2D1E"/>
    <w:rsid w:val="71015D6B"/>
    <w:rsid w:val="71023EB6"/>
    <w:rsid w:val="710266F5"/>
    <w:rsid w:val="71111AA4"/>
    <w:rsid w:val="71115386"/>
    <w:rsid w:val="71151975"/>
    <w:rsid w:val="71336A65"/>
    <w:rsid w:val="71545B37"/>
    <w:rsid w:val="71570E43"/>
    <w:rsid w:val="71573E01"/>
    <w:rsid w:val="715A268F"/>
    <w:rsid w:val="71702748"/>
    <w:rsid w:val="717C4AD2"/>
    <w:rsid w:val="71867894"/>
    <w:rsid w:val="719154C5"/>
    <w:rsid w:val="719F7A78"/>
    <w:rsid w:val="71B0240C"/>
    <w:rsid w:val="71B623F6"/>
    <w:rsid w:val="71B844B8"/>
    <w:rsid w:val="71C42AEF"/>
    <w:rsid w:val="71C57827"/>
    <w:rsid w:val="71C7540C"/>
    <w:rsid w:val="71CF0342"/>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992D6A"/>
    <w:rsid w:val="72A20C20"/>
    <w:rsid w:val="72AC5E95"/>
    <w:rsid w:val="72AD26CF"/>
    <w:rsid w:val="72B40A49"/>
    <w:rsid w:val="72C13ED7"/>
    <w:rsid w:val="72C46163"/>
    <w:rsid w:val="72CF1AC7"/>
    <w:rsid w:val="72D458DE"/>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F2D64"/>
    <w:rsid w:val="74032E05"/>
    <w:rsid w:val="74137154"/>
    <w:rsid w:val="7421310D"/>
    <w:rsid w:val="74257F79"/>
    <w:rsid w:val="74273820"/>
    <w:rsid w:val="7427471C"/>
    <w:rsid w:val="742A7DA3"/>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07D3F"/>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DE73FD"/>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7B03"/>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AD1AFB"/>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9033F"/>
    <w:rsid w:val="7D0F5720"/>
    <w:rsid w:val="7D2A6AD2"/>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DF30332"/>
    <w:rsid w:val="7E0427CB"/>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 w:type="paragraph" w:customStyle="1" w:styleId="76">
    <w:name w:val="Reference"/>
    <w:basedOn w:val="1"/>
    <w:qFormat/>
    <w:uiPriority w:val="0"/>
    <w:pPr>
      <w:numPr>
        <w:ilvl w:val="0"/>
        <w:numId w:val="7"/>
      </w:numPr>
      <w:overflowPunct w:val="0"/>
      <w:autoSpaceDE w:val="0"/>
      <w:autoSpaceDN w:val="0"/>
      <w:adjustRightInd w:val="0"/>
      <w:spacing w:after="120"/>
      <w:jc w:val="both"/>
    </w:pPr>
    <w:rPr>
      <w:rFonts w:ascii="Arial" w:hAnsi="Arial" w:cs="Arial" w:eastAsiaTheme="minorEastAsia"/>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2025-05-09T09:10:07Z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